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p>
    <w:p>
      <w:pPr>
        <w:jc w:val="center"/>
        <w:rPr>
          <w:rFonts w:ascii="黑体" w:hAnsi="黑体" w:eastAsia="黑体" w:cs="黑体"/>
          <w:b/>
          <w:sz w:val="36"/>
          <w:szCs w:val="36"/>
        </w:rPr>
      </w:pPr>
      <w:r>
        <w:rPr>
          <w:rFonts w:hint="eastAsia" w:ascii="黑体" w:hAnsi="黑体" w:eastAsia="黑体" w:cs="黑体"/>
          <w:b/>
          <w:sz w:val="36"/>
          <w:szCs w:val="36"/>
        </w:rPr>
        <w:t>《</w:t>
      </w:r>
      <w:r>
        <w:rPr>
          <w:rFonts w:hint="eastAsia" w:ascii="黑体" w:hAnsi="黑体" w:eastAsia="黑体" w:cs="黑体"/>
          <w:b/>
          <w:sz w:val="36"/>
          <w:szCs w:val="36"/>
          <w:lang w:val="en-US" w:eastAsia="zh-CN"/>
        </w:rPr>
        <w:t>数码媒体</w:t>
      </w:r>
      <w:r>
        <w:rPr>
          <w:rFonts w:hint="eastAsia" w:ascii="黑体" w:hAnsi="黑体" w:eastAsia="黑体" w:cs="黑体"/>
          <w:b/>
          <w:sz w:val="36"/>
          <w:szCs w:val="36"/>
        </w:rPr>
        <w:t>设计实践》课程线上教学方案</w:t>
      </w:r>
    </w:p>
    <w:p>
      <w:pPr>
        <w:spacing w:line="300" w:lineRule="auto"/>
        <w:ind w:firstLine="420" w:firstLineChars="200"/>
        <w:jc w:val="left"/>
        <w:rPr>
          <w:rFonts w:ascii="宋体" w:hAnsi="宋体"/>
        </w:rPr>
      </w:pPr>
    </w:p>
    <w:p>
      <w:pPr>
        <w:spacing w:line="300" w:lineRule="auto"/>
        <w:ind w:firstLine="640" w:firstLineChars="200"/>
        <w:jc w:val="left"/>
        <w:rPr>
          <w:rFonts w:ascii="仿宋" w:hAnsi="仿宋" w:eastAsia="仿宋"/>
          <w:sz w:val="32"/>
          <w:szCs w:val="32"/>
        </w:rPr>
      </w:pPr>
      <w:r>
        <w:rPr>
          <w:rFonts w:hint="eastAsia" w:ascii="仿宋" w:hAnsi="仿宋" w:eastAsia="仿宋"/>
          <w:sz w:val="32"/>
          <w:szCs w:val="32"/>
        </w:rPr>
        <w:t>为应对新型冠状病毒感染疫情，在春季学期开学时间进行调整的情况下，设计学院有效落实按照学校已发布《吉林动画学院关于推迟2020年春季开学时间的通知》有关要求和相关部署，结合设计学院</w:t>
      </w:r>
      <w:r>
        <w:rPr>
          <w:rFonts w:ascii="仿宋" w:hAnsi="仿宋" w:eastAsia="仿宋"/>
          <w:sz w:val="32"/>
          <w:szCs w:val="32"/>
        </w:rPr>
        <w:t>2019</w:t>
      </w:r>
      <w:r>
        <w:rPr>
          <w:rFonts w:hint="eastAsia" w:ascii="仿宋" w:hAnsi="仿宋" w:eastAsia="仿宋"/>
          <w:sz w:val="32"/>
          <w:szCs w:val="32"/>
        </w:rPr>
        <w:t>—</w:t>
      </w:r>
      <w:r>
        <w:rPr>
          <w:rFonts w:ascii="仿宋" w:hAnsi="仿宋" w:eastAsia="仿宋"/>
          <w:sz w:val="32"/>
          <w:szCs w:val="32"/>
        </w:rPr>
        <w:t>202</w:t>
      </w:r>
      <w:r>
        <w:rPr>
          <w:rFonts w:hint="eastAsia" w:ascii="仿宋" w:hAnsi="仿宋" w:eastAsia="仿宋"/>
          <w:sz w:val="32"/>
          <w:szCs w:val="32"/>
        </w:rPr>
        <w:t>0学年第二学期教学实际，拟设计行之有效且符合</w:t>
      </w:r>
      <w:r>
        <w:rPr>
          <w:rFonts w:hint="eastAsia" w:ascii="仿宋" w:hAnsi="仿宋" w:eastAsia="仿宋"/>
          <w:sz w:val="32"/>
          <w:szCs w:val="32"/>
          <w:lang w:val="en-US" w:eastAsia="zh-CN"/>
        </w:rPr>
        <w:t>视觉传达设计</w:t>
      </w:r>
      <w:r>
        <w:rPr>
          <w:rFonts w:hint="eastAsia" w:ascii="仿宋" w:hAnsi="仿宋" w:eastAsia="仿宋"/>
          <w:sz w:val="32"/>
          <w:szCs w:val="32"/>
        </w:rPr>
        <w:t>专业</w:t>
      </w:r>
      <w:r>
        <w:rPr>
          <w:rFonts w:hint="eastAsia" w:ascii="仿宋" w:hAnsi="仿宋" w:eastAsia="仿宋"/>
          <w:sz w:val="32"/>
          <w:szCs w:val="32"/>
          <w:lang w:val="en-US" w:eastAsia="zh-CN"/>
        </w:rPr>
        <w:t>数码媒体设计方向</w:t>
      </w:r>
      <w:r>
        <w:rPr>
          <w:rFonts w:hint="eastAsia" w:ascii="仿宋" w:hAnsi="仿宋" w:eastAsia="仿宋"/>
          <w:sz w:val="32"/>
          <w:szCs w:val="32"/>
        </w:rPr>
        <w:t>集中实践环节教学规律及课程特点的线上教学形式，积极动员教师选择适配的教学平台、优选教学资源，搭建数字化学习空间，推进课程的信息化建设，并计划长期使用，具体线上教学方案如下：</w:t>
      </w:r>
    </w:p>
    <w:p>
      <w:pPr>
        <w:spacing w:line="300" w:lineRule="auto"/>
        <w:ind w:firstLine="643" w:firstLineChars="200"/>
        <w:jc w:val="left"/>
        <w:rPr>
          <w:rFonts w:ascii="黑体" w:hAnsi="黑体" w:eastAsia="黑体"/>
          <w:b/>
          <w:sz w:val="32"/>
          <w:szCs w:val="32"/>
        </w:rPr>
      </w:pPr>
      <w:r>
        <w:rPr>
          <w:rFonts w:hint="eastAsia" w:ascii="黑体" w:hAnsi="黑体" w:eastAsia="黑体"/>
          <w:b/>
          <w:sz w:val="32"/>
          <w:szCs w:val="32"/>
        </w:rPr>
        <w:t>一、教学安排：</w:t>
      </w:r>
    </w:p>
    <w:p>
      <w:pPr>
        <w:spacing w:line="300" w:lineRule="auto"/>
        <w:ind w:firstLine="640" w:firstLineChars="200"/>
        <w:jc w:val="left"/>
        <w:rPr>
          <w:rFonts w:ascii="仿宋" w:hAnsi="仿宋" w:eastAsia="仿宋"/>
          <w:sz w:val="32"/>
          <w:szCs w:val="32"/>
        </w:rPr>
      </w:pPr>
      <w:r>
        <w:rPr>
          <w:rFonts w:hint="eastAsia" w:ascii="仿宋" w:hAnsi="仿宋" w:eastAsia="仿宋"/>
          <w:sz w:val="32"/>
          <w:szCs w:val="32"/>
        </w:rPr>
        <w:t>根据推迟4周开学的教学工作安排预案制定设计学院工作方案，后续根据疫情调整教学安排，实行弹性教学运行机制。</w:t>
      </w:r>
    </w:p>
    <w:p>
      <w:pPr>
        <w:spacing w:line="300" w:lineRule="auto"/>
        <w:ind w:firstLine="643" w:firstLineChars="200"/>
        <w:jc w:val="left"/>
        <w:rPr>
          <w:rFonts w:ascii="仿宋" w:hAnsi="仿宋" w:eastAsia="仿宋"/>
          <w:sz w:val="32"/>
          <w:szCs w:val="32"/>
        </w:rPr>
      </w:pPr>
      <w:r>
        <w:rPr>
          <w:rFonts w:hint="eastAsia" w:ascii="楷体" w:hAnsi="楷体" w:eastAsia="楷体"/>
          <w:b/>
          <w:sz w:val="32"/>
          <w:szCs w:val="32"/>
        </w:rPr>
        <w:t>（一）课程组构成</w:t>
      </w:r>
    </w:p>
    <w:p>
      <w:pPr>
        <w:spacing w:line="300" w:lineRule="auto"/>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课程组长：</w:t>
      </w:r>
      <w:r>
        <w:rPr>
          <w:rFonts w:hint="eastAsia" w:ascii="仿宋" w:hAnsi="仿宋" w:eastAsia="仿宋"/>
          <w:sz w:val="32"/>
          <w:szCs w:val="32"/>
          <w:lang w:val="en-US" w:eastAsia="zh-CN"/>
        </w:rPr>
        <w:t>田立群</w:t>
      </w:r>
    </w:p>
    <w:p>
      <w:pPr>
        <w:spacing w:line="300" w:lineRule="auto"/>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成员：</w:t>
      </w:r>
      <w:r>
        <w:rPr>
          <w:rFonts w:hint="eastAsia" w:ascii="仿宋" w:hAnsi="仿宋" w:eastAsia="仿宋"/>
          <w:sz w:val="32"/>
          <w:szCs w:val="32"/>
          <w:lang w:val="en-US" w:eastAsia="zh-CN"/>
        </w:rPr>
        <w:t>郝边远</w:t>
      </w:r>
      <w:r>
        <w:rPr>
          <w:rFonts w:hint="eastAsia" w:ascii="仿宋" w:hAnsi="仿宋" w:eastAsia="仿宋"/>
          <w:sz w:val="32"/>
          <w:szCs w:val="32"/>
        </w:rPr>
        <w:t>、</w:t>
      </w:r>
      <w:r>
        <w:rPr>
          <w:rFonts w:hint="eastAsia" w:ascii="仿宋" w:hAnsi="仿宋" w:eastAsia="仿宋"/>
          <w:sz w:val="32"/>
          <w:szCs w:val="32"/>
          <w:lang w:val="en-US" w:eastAsia="zh-CN"/>
        </w:rPr>
        <w:t>张璟雷</w:t>
      </w:r>
    </w:p>
    <w:tbl>
      <w:tblPr>
        <w:tblStyle w:val="4"/>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44"/>
        <w:gridCol w:w="1126"/>
        <w:gridCol w:w="682"/>
        <w:gridCol w:w="1587"/>
        <w:gridCol w:w="1193"/>
        <w:gridCol w:w="1203"/>
        <w:gridCol w:w="118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7"/>
            <w:vAlign w:val="center"/>
          </w:tcPr>
          <w:p>
            <w:pPr>
              <w:spacing w:line="300" w:lineRule="auto"/>
              <w:jc w:val="center"/>
              <w:rPr>
                <w:rFonts w:ascii="宋体" w:hAnsi="宋体" w:cs="黑体"/>
                <w:b/>
                <w:sz w:val="24"/>
              </w:rPr>
            </w:pPr>
            <w:r>
              <w:rPr>
                <w:rFonts w:hint="eastAsia" w:ascii="宋体" w:hAnsi="宋体" w:cs="黑体"/>
                <w:b/>
                <w:sz w:val="24"/>
              </w:rPr>
              <w:t>《</w:t>
            </w:r>
            <w:r>
              <w:rPr>
                <w:rFonts w:hint="eastAsia" w:ascii="宋体" w:hAnsi="宋体" w:cs="黑体"/>
                <w:b/>
                <w:sz w:val="24"/>
                <w:lang w:val="en-US" w:eastAsia="zh-CN"/>
              </w:rPr>
              <w:t>数码媒体</w:t>
            </w:r>
            <w:r>
              <w:rPr>
                <w:rFonts w:hint="eastAsia" w:ascii="宋体" w:hAnsi="宋体" w:cs="黑体"/>
                <w:b/>
                <w:sz w:val="24"/>
              </w:rPr>
              <w:t>设计实践》课程信息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544" w:type="dxa"/>
            <w:vAlign w:val="center"/>
          </w:tcPr>
          <w:p>
            <w:pPr>
              <w:spacing w:line="300" w:lineRule="auto"/>
              <w:jc w:val="center"/>
              <w:rPr>
                <w:rFonts w:ascii="宋体" w:hAnsi="宋体" w:cs="黑体"/>
                <w:b/>
                <w:sz w:val="24"/>
              </w:rPr>
            </w:pPr>
            <w:r>
              <w:rPr>
                <w:rFonts w:hint="eastAsia" w:ascii="宋体" w:hAnsi="宋体" w:cs="黑体"/>
                <w:b/>
                <w:sz w:val="24"/>
              </w:rPr>
              <w:t>课程性质/类别</w:t>
            </w:r>
          </w:p>
        </w:tc>
        <w:tc>
          <w:tcPr>
            <w:tcW w:w="1126" w:type="dxa"/>
            <w:vAlign w:val="center"/>
          </w:tcPr>
          <w:p>
            <w:pPr>
              <w:spacing w:line="300" w:lineRule="auto"/>
              <w:jc w:val="center"/>
              <w:rPr>
                <w:rFonts w:ascii="宋体" w:hAnsi="宋体" w:cs="黑体"/>
                <w:b/>
                <w:sz w:val="24"/>
              </w:rPr>
            </w:pPr>
            <w:r>
              <w:rPr>
                <w:rFonts w:hint="eastAsia" w:ascii="宋体" w:hAnsi="宋体" w:cs="黑体"/>
                <w:b/>
                <w:sz w:val="24"/>
              </w:rPr>
              <w:t>课程</w:t>
            </w:r>
          </w:p>
          <w:p>
            <w:pPr>
              <w:spacing w:line="300" w:lineRule="auto"/>
              <w:jc w:val="center"/>
              <w:rPr>
                <w:rFonts w:ascii="宋体" w:hAnsi="宋体" w:cs="黑体"/>
                <w:b/>
                <w:sz w:val="24"/>
              </w:rPr>
            </w:pPr>
            <w:r>
              <w:rPr>
                <w:rFonts w:hint="eastAsia" w:ascii="宋体" w:hAnsi="宋体" w:cs="黑体"/>
                <w:b/>
                <w:sz w:val="24"/>
              </w:rPr>
              <w:t>编码</w:t>
            </w:r>
          </w:p>
        </w:tc>
        <w:tc>
          <w:tcPr>
            <w:tcW w:w="682" w:type="dxa"/>
            <w:vAlign w:val="center"/>
          </w:tcPr>
          <w:p>
            <w:pPr>
              <w:spacing w:line="300" w:lineRule="auto"/>
              <w:jc w:val="center"/>
              <w:rPr>
                <w:rFonts w:ascii="宋体" w:hAnsi="宋体" w:cs="黑体"/>
                <w:b/>
                <w:sz w:val="24"/>
              </w:rPr>
            </w:pPr>
            <w:r>
              <w:rPr>
                <w:rFonts w:hint="eastAsia" w:ascii="宋体" w:hAnsi="宋体" w:cs="黑体"/>
                <w:b/>
                <w:sz w:val="24"/>
              </w:rPr>
              <w:t>年级</w:t>
            </w:r>
          </w:p>
        </w:tc>
        <w:tc>
          <w:tcPr>
            <w:tcW w:w="1587" w:type="dxa"/>
            <w:vAlign w:val="center"/>
          </w:tcPr>
          <w:p>
            <w:pPr>
              <w:spacing w:line="300" w:lineRule="auto"/>
              <w:jc w:val="center"/>
              <w:rPr>
                <w:rFonts w:ascii="宋体" w:hAnsi="宋体" w:cs="黑体"/>
                <w:b/>
                <w:sz w:val="24"/>
              </w:rPr>
            </w:pPr>
            <w:r>
              <w:rPr>
                <w:rFonts w:hint="eastAsia" w:ascii="宋体" w:hAnsi="宋体" w:cs="黑体"/>
                <w:b/>
                <w:sz w:val="24"/>
              </w:rPr>
              <w:t>专业（方向）</w:t>
            </w:r>
          </w:p>
        </w:tc>
        <w:tc>
          <w:tcPr>
            <w:tcW w:w="1193" w:type="dxa"/>
            <w:vAlign w:val="center"/>
          </w:tcPr>
          <w:p>
            <w:pPr>
              <w:spacing w:line="300" w:lineRule="auto"/>
              <w:jc w:val="center"/>
              <w:rPr>
                <w:rFonts w:ascii="宋体" w:hAnsi="宋体" w:cs="黑体"/>
                <w:b/>
                <w:sz w:val="24"/>
              </w:rPr>
            </w:pPr>
            <w:r>
              <w:rPr>
                <w:rFonts w:hint="eastAsia" w:ascii="宋体" w:hAnsi="宋体" w:cs="黑体"/>
                <w:b/>
                <w:sz w:val="24"/>
              </w:rPr>
              <w:t>学时</w:t>
            </w:r>
          </w:p>
        </w:tc>
        <w:tc>
          <w:tcPr>
            <w:tcW w:w="1203" w:type="dxa"/>
            <w:vAlign w:val="center"/>
          </w:tcPr>
          <w:p>
            <w:pPr>
              <w:spacing w:line="300" w:lineRule="auto"/>
              <w:jc w:val="center"/>
              <w:rPr>
                <w:rFonts w:ascii="宋体" w:hAnsi="宋体" w:cs="黑体"/>
                <w:b/>
                <w:sz w:val="24"/>
              </w:rPr>
            </w:pPr>
            <w:r>
              <w:rPr>
                <w:rFonts w:hint="eastAsia" w:ascii="宋体" w:hAnsi="宋体" w:cs="黑体"/>
                <w:b/>
                <w:sz w:val="24"/>
              </w:rPr>
              <w:t>起止周次</w:t>
            </w:r>
          </w:p>
        </w:tc>
        <w:tc>
          <w:tcPr>
            <w:tcW w:w="1187" w:type="dxa"/>
            <w:vAlign w:val="center"/>
          </w:tcPr>
          <w:p>
            <w:pPr>
              <w:spacing w:line="300" w:lineRule="auto"/>
              <w:jc w:val="center"/>
              <w:rPr>
                <w:rFonts w:ascii="宋体" w:hAnsi="宋体" w:cs="黑体"/>
                <w:b/>
                <w:sz w:val="24"/>
              </w:rPr>
            </w:pPr>
            <w:r>
              <w:rPr>
                <w:rFonts w:hint="eastAsia" w:ascii="宋体" w:hAnsi="宋体" w:cs="黑体"/>
                <w:b/>
                <w:sz w:val="24"/>
              </w:rPr>
              <w:t>考核方式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544" w:type="dxa"/>
            <w:vAlign w:val="center"/>
          </w:tcPr>
          <w:p>
            <w:pPr>
              <w:jc w:val="center"/>
              <w:rPr>
                <w:rFonts w:ascii="宋体" w:hAnsi="宋体" w:cs="黑体"/>
                <w:szCs w:val="21"/>
              </w:rPr>
            </w:pPr>
            <w:r>
              <w:rPr>
                <w:rFonts w:hint="eastAsia" w:ascii="宋体" w:hAnsi="宋体" w:cs="黑体"/>
                <w:szCs w:val="21"/>
              </w:rPr>
              <w:t>专业必修课/集中实践环节</w:t>
            </w:r>
          </w:p>
        </w:tc>
        <w:tc>
          <w:tcPr>
            <w:tcW w:w="1126" w:type="dxa"/>
            <w:vAlign w:val="center"/>
          </w:tcPr>
          <w:p>
            <w:pPr>
              <w:jc w:val="center"/>
              <w:rPr>
                <w:rFonts w:ascii="宋体" w:hAnsi="宋体" w:cs="黑体"/>
                <w:szCs w:val="21"/>
              </w:rPr>
            </w:pPr>
            <w:r>
              <w:rPr>
                <w:rFonts w:hint="eastAsia" w:ascii="宋体" w:hAnsi="宋体" w:cs="黑体"/>
                <w:szCs w:val="21"/>
              </w:rPr>
              <w:t>0</w:t>
            </w:r>
            <w:r>
              <w:rPr>
                <w:rFonts w:hint="eastAsia" w:ascii="宋体" w:hAnsi="宋体" w:cs="黑体"/>
                <w:szCs w:val="21"/>
                <w:lang w:val="en-US" w:eastAsia="zh-CN"/>
              </w:rPr>
              <w:t>3</w:t>
            </w:r>
            <w:r>
              <w:rPr>
                <w:rFonts w:hint="eastAsia" w:ascii="宋体" w:hAnsi="宋体" w:cs="黑体"/>
                <w:szCs w:val="21"/>
              </w:rPr>
              <w:t>X</w:t>
            </w:r>
            <w:r>
              <w:rPr>
                <w:rFonts w:hint="eastAsia" w:ascii="宋体" w:hAnsi="宋体" w:cs="黑体"/>
                <w:szCs w:val="21"/>
                <w:lang w:val="en-US" w:eastAsia="zh-CN"/>
              </w:rPr>
              <w:t>2</w:t>
            </w:r>
            <w:r>
              <w:rPr>
                <w:rFonts w:hint="eastAsia" w:ascii="宋体" w:hAnsi="宋体" w:cs="黑体"/>
                <w:szCs w:val="21"/>
              </w:rPr>
              <w:t>6023</w:t>
            </w:r>
          </w:p>
        </w:tc>
        <w:tc>
          <w:tcPr>
            <w:tcW w:w="682" w:type="dxa"/>
            <w:vAlign w:val="center"/>
          </w:tcPr>
          <w:p>
            <w:pPr>
              <w:jc w:val="center"/>
              <w:rPr>
                <w:rFonts w:ascii="宋体" w:hAnsi="宋体" w:cs="黑体"/>
                <w:szCs w:val="21"/>
              </w:rPr>
            </w:pPr>
            <w:r>
              <w:rPr>
                <w:rFonts w:hint="eastAsia" w:ascii="宋体" w:hAnsi="宋体" w:cs="黑体"/>
                <w:szCs w:val="21"/>
              </w:rPr>
              <w:t>17级</w:t>
            </w:r>
          </w:p>
        </w:tc>
        <w:tc>
          <w:tcPr>
            <w:tcW w:w="1587" w:type="dxa"/>
            <w:vAlign w:val="center"/>
          </w:tcPr>
          <w:p>
            <w:pPr>
              <w:rPr>
                <w:rFonts w:ascii="宋体" w:hAnsi="宋体" w:cs="黑体"/>
                <w:szCs w:val="21"/>
              </w:rPr>
            </w:pPr>
            <w:r>
              <w:rPr>
                <w:rFonts w:hint="eastAsia" w:ascii="宋体" w:hAnsi="宋体" w:cs="黑体"/>
                <w:szCs w:val="21"/>
                <w:lang w:val="en-US" w:eastAsia="zh-CN"/>
              </w:rPr>
              <w:t>视觉传达设计</w:t>
            </w:r>
            <w:r>
              <w:rPr>
                <w:rFonts w:hint="eastAsia" w:ascii="宋体" w:hAnsi="宋体" w:cs="黑体"/>
                <w:szCs w:val="21"/>
              </w:rPr>
              <w:t>（</w:t>
            </w:r>
            <w:r>
              <w:rPr>
                <w:rFonts w:hint="eastAsia" w:ascii="宋体" w:hAnsi="宋体" w:cs="黑体"/>
                <w:szCs w:val="21"/>
                <w:lang w:val="en-US" w:eastAsia="zh-CN"/>
              </w:rPr>
              <w:t>数码媒体</w:t>
            </w:r>
            <w:r>
              <w:rPr>
                <w:rFonts w:hint="eastAsia" w:ascii="宋体" w:hAnsi="宋体" w:cs="黑体"/>
                <w:szCs w:val="21"/>
              </w:rPr>
              <w:t>设计）</w:t>
            </w:r>
          </w:p>
        </w:tc>
        <w:tc>
          <w:tcPr>
            <w:tcW w:w="1193" w:type="dxa"/>
            <w:vAlign w:val="center"/>
          </w:tcPr>
          <w:p>
            <w:pPr>
              <w:jc w:val="center"/>
              <w:rPr>
                <w:rFonts w:ascii="宋体" w:hAnsi="宋体" w:cs="黑体"/>
                <w:szCs w:val="21"/>
              </w:rPr>
            </w:pPr>
            <w:r>
              <w:rPr>
                <w:rFonts w:hint="eastAsia" w:ascii="宋体" w:hAnsi="宋体" w:cs="黑体"/>
                <w:szCs w:val="21"/>
              </w:rPr>
              <w:t>320学时</w:t>
            </w:r>
          </w:p>
        </w:tc>
        <w:tc>
          <w:tcPr>
            <w:tcW w:w="1203" w:type="dxa"/>
            <w:vAlign w:val="center"/>
          </w:tcPr>
          <w:p>
            <w:pPr>
              <w:jc w:val="center"/>
              <w:rPr>
                <w:rFonts w:ascii="宋体" w:hAnsi="宋体" w:cs="黑体"/>
                <w:szCs w:val="21"/>
              </w:rPr>
            </w:pPr>
            <w:r>
              <w:rPr>
                <w:rFonts w:hint="eastAsia" w:ascii="宋体" w:hAnsi="宋体" w:cs="黑体"/>
                <w:szCs w:val="21"/>
              </w:rPr>
              <w:t>1-16</w:t>
            </w:r>
          </w:p>
        </w:tc>
        <w:tc>
          <w:tcPr>
            <w:tcW w:w="1187" w:type="dxa"/>
            <w:vAlign w:val="center"/>
          </w:tcPr>
          <w:p>
            <w:pPr>
              <w:jc w:val="center"/>
              <w:rPr>
                <w:rFonts w:hint="eastAsia" w:ascii="宋体" w:hAnsi="宋体" w:eastAsia="宋体" w:cs="黑体"/>
                <w:szCs w:val="21"/>
                <w:lang w:eastAsia="zh-CN"/>
              </w:rPr>
            </w:pPr>
            <w:r>
              <w:rPr>
                <w:rFonts w:hint="eastAsia" w:ascii="宋体" w:hAnsi="宋体" w:cs="黑体"/>
                <w:szCs w:val="21"/>
                <w:lang w:val="en-US" w:eastAsia="zh-CN"/>
              </w:rPr>
              <w:t>考试</w:t>
            </w:r>
            <w:bookmarkStart w:id="0" w:name="_GoBack"/>
            <w:bookmarkEnd w:id="0"/>
          </w:p>
        </w:tc>
      </w:tr>
    </w:tbl>
    <w:p>
      <w:pPr>
        <w:jc w:val="left"/>
        <w:rPr>
          <w:rFonts w:ascii="楷体" w:hAnsi="楷体" w:eastAsia="楷体"/>
          <w:b/>
        </w:rPr>
      </w:pPr>
    </w:p>
    <w:p>
      <w:pPr>
        <w:jc w:val="left"/>
        <w:rPr>
          <w:rFonts w:ascii="楷体" w:hAnsi="楷体" w:eastAsia="楷体"/>
          <w:b/>
        </w:rPr>
      </w:pPr>
    </w:p>
    <w:p>
      <w:pPr>
        <w:jc w:val="left"/>
        <w:rPr>
          <w:rFonts w:ascii="楷体" w:hAnsi="楷体" w:eastAsia="楷体"/>
          <w:b/>
        </w:rPr>
      </w:pPr>
    </w:p>
    <w:tbl>
      <w:tblPr>
        <w:tblStyle w:val="4"/>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85"/>
        <w:gridCol w:w="1087"/>
        <w:gridCol w:w="1483"/>
        <w:gridCol w:w="43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4"/>
            <w:vAlign w:val="center"/>
          </w:tcPr>
          <w:p>
            <w:pPr>
              <w:jc w:val="center"/>
              <w:rPr>
                <w:rFonts w:ascii="宋体" w:hAnsi="宋体" w:cs="黑体"/>
                <w:b/>
                <w:sz w:val="24"/>
              </w:rPr>
            </w:pPr>
            <w:r>
              <w:rPr>
                <w:rFonts w:hint="eastAsia" w:ascii="宋体" w:hAnsi="宋体" w:cs="黑体"/>
                <w:b/>
                <w:sz w:val="24"/>
              </w:rPr>
              <w:t>17级</w:t>
            </w:r>
            <w:r>
              <w:rPr>
                <w:rFonts w:hint="eastAsia" w:ascii="宋体" w:hAnsi="宋体" w:cs="黑体"/>
                <w:b/>
                <w:sz w:val="24"/>
                <w:lang w:val="en-US" w:eastAsia="zh-CN"/>
              </w:rPr>
              <w:t>视觉传达设计</w:t>
            </w:r>
            <w:r>
              <w:rPr>
                <w:rFonts w:hint="eastAsia" w:ascii="宋体" w:hAnsi="宋体" w:cs="黑体"/>
                <w:b/>
                <w:sz w:val="24"/>
              </w:rPr>
              <w:t>专业《</w:t>
            </w:r>
            <w:r>
              <w:rPr>
                <w:rFonts w:hint="eastAsia" w:ascii="宋体" w:hAnsi="宋体" w:cs="黑体"/>
                <w:b/>
                <w:sz w:val="24"/>
                <w:lang w:val="en-US" w:eastAsia="zh-CN"/>
              </w:rPr>
              <w:t>数码媒体</w:t>
            </w:r>
            <w:r>
              <w:rPr>
                <w:rFonts w:hint="eastAsia" w:ascii="宋体" w:hAnsi="宋体" w:cs="黑体"/>
                <w:b/>
                <w:sz w:val="24"/>
              </w:rPr>
              <w:t>设计实践》班级授课信息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585" w:type="dxa"/>
            <w:vAlign w:val="center"/>
          </w:tcPr>
          <w:p>
            <w:pPr>
              <w:jc w:val="center"/>
              <w:rPr>
                <w:rFonts w:ascii="宋体" w:hAnsi="宋体" w:cs="黑体"/>
                <w:b/>
                <w:sz w:val="24"/>
              </w:rPr>
            </w:pPr>
            <w:r>
              <w:rPr>
                <w:rFonts w:hint="eastAsia" w:ascii="宋体" w:hAnsi="宋体" w:cs="黑体"/>
                <w:b/>
                <w:sz w:val="24"/>
              </w:rPr>
              <w:t>班级</w:t>
            </w:r>
          </w:p>
        </w:tc>
        <w:tc>
          <w:tcPr>
            <w:tcW w:w="1087" w:type="dxa"/>
            <w:vAlign w:val="center"/>
          </w:tcPr>
          <w:p>
            <w:pPr>
              <w:jc w:val="center"/>
              <w:rPr>
                <w:rFonts w:ascii="宋体" w:hAnsi="宋体" w:cs="黑体"/>
                <w:b/>
                <w:sz w:val="24"/>
              </w:rPr>
            </w:pPr>
            <w:r>
              <w:rPr>
                <w:rFonts w:hint="eastAsia" w:ascii="宋体" w:hAnsi="宋体" w:cs="黑体"/>
                <w:b/>
                <w:sz w:val="24"/>
              </w:rPr>
              <w:t>教师</w:t>
            </w:r>
          </w:p>
        </w:tc>
        <w:tc>
          <w:tcPr>
            <w:tcW w:w="1483" w:type="dxa"/>
            <w:vAlign w:val="center"/>
          </w:tcPr>
          <w:p>
            <w:pPr>
              <w:jc w:val="center"/>
              <w:rPr>
                <w:rFonts w:ascii="宋体" w:hAnsi="宋体" w:cs="黑体"/>
                <w:b/>
                <w:sz w:val="24"/>
              </w:rPr>
            </w:pPr>
            <w:r>
              <w:rPr>
                <w:rFonts w:hint="eastAsia" w:ascii="宋体" w:hAnsi="宋体" w:cs="黑体"/>
                <w:b/>
                <w:sz w:val="24"/>
              </w:rPr>
              <w:t>授课时间</w:t>
            </w:r>
          </w:p>
        </w:tc>
        <w:tc>
          <w:tcPr>
            <w:tcW w:w="4367" w:type="dxa"/>
            <w:vAlign w:val="center"/>
          </w:tcPr>
          <w:p>
            <w:pPr>
              <w:jc w:val="center"/>
              <w:rPr>
                <w:rFonts w:ascii="宋体" w:hAnsi="宋体" w:cs="黑体"/>
                <w:b/>
                <w:sz w:val="24"/>
              </w:rPr>
            </w:pPr>
            <w:r>
              <w:rPr>
                <w:rFonts w:hint="eastAsia" w:ascii="宋体" w:hAnsi="宋体" w:cs="黑体"/>
                <w:b/>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80" w:hRule="atLeast"/>
        </w:trPr>
        <w:tc>
          <w:tcPr>
            <w:tcW w:w="1585" w:type="dxa"/>
            <w:vAlign w:val="center"/>
          </w:tcPr>
          <w:p>
            <w:pPr>
              <w:jc w:val="center"/>
              <w:rPr>
                <w:rFonts w:ascii="宋体" w:hAnsi="宋体" w:cs="黑体"/>
                <w:szCs w:val="21"/>
              </w:rPr>
            </w:pPr>
            <w:r>
              <w:rPr>
                <w:rFonts w:hint="eastAsia" w:ascii="宋体" w:hAnsi="宋体" w:cs="黑体"/>
                <w:szCs w:val="21"/>
                <w:lang w:val="en-US" w:eastAsia="zh-CN"/>
              </w:rPr>
              <w:t>视觉传达设计</w:t>
            </w:r>
            <w:r>
              <w:rPr>
                <w:rFonts w:hint="eastAsia" w:ascii="宋体" w:hAnsi="宋体" w:cs="黑体"/>
                <w:szCs w:val="21"/>
              </w:rPr>
              <w:t>第</w:t>
            </w:r>
            <w:r>
              <w:rPr>
                <w:rFonts w:hint="eastAsia" w:ascii="宋体" w:hAnsi="宋体" w:cs="黑体"/>
                <w:szCs w:val="21"/>
                <w:lang w:val="en-US" w:eastAsia="zh-CN"/>
              </w:rPr>
              <w:t>三</w:t>
            </w:r>
            <w:r>
              <w:rPr>
                <w:rFonts w:hint="eastAsia" w:ascii="宋体" w:hAnsi="宋体" w:cs="黑体"/>
                <w:szCs w:val="21"/>
              </w:rPr>
              <w:t>工作室</w:t>
            </w:r>
          </w:p>
        </w:tc>
        <w:tc>
          <w:tcPr>
            <w:tcW w:w="1087" w:type="dxa"/>
            <w:vAlign w:val="center"/>
          </w:tcPr>
          <w:p>
            <w:pPr>
              <w:jc w:val="center"/>
              <w:rPr>
                <w:rFonts w:hint="default" w:ascii="宋体" w:hAnsi="宋体" w:eastAsia="宋体" w:cs="黑体"/>
                <w:szCs w:val="21"/>
                <w:lang w:val="en-US" w:eastAsia="zh-CN"/>
              </w:rPr>
            </w:pPr>
            <w:r>
              <w:rPr>
                <w:rFonts w:hint="eastAsia" w:ascii="宋体" w:hAnsi="宋体" w:cs="黑体"/>
                <w:szCs w:val="21"/>
                <w:lang w:val="en-US" w:eastAsia="zh-CN"/>
              </w:rPr>
              <w:t>张璟雷</w:t>
            </w:r>
          </w:p>
        </w:tc>
        <w:tc>
          <w:tcPr>
            <w:tcW w:w="1483" w:type="dxa"/>
            <w:vAlign w:val="center"/>
          </w:tcPr>
          <w:p>
            <w:pPr>
              <w:jc w:val="center"/>
              <w:rPr>
                <w:rFonts w:ascii="宋体" w:hAnsi="宋体" w:cs="黑体"/>
                <w:szCs w:val="21"/>
              </w:rPr>
            </w:pPr>
            <w:r>
              <w:rPr>
                <w:rFonts w:hint="eastAsia" w:ascii="宋体" w:hAnsi="宋体" w:cs="黑体"/>
                <w:szCs w:val="21"/>
              </w:rPr>
              <w:t>待定</w:t>
            </w:r>
          </w:p>
        </w:tc>
        <w:tc>
          <w:tcPr>
            <w:tcW w:w="4367" w:type="dxa"/>
            <w:vMerge w:val="restart"/>
            <w:vAlign w:val="center"/>
          </w:tcPr>
          <w:p>
            <w:pPr>
              <w:rPr>
                <w:rFonts w:ascii="宋体" w:hAnsi="宋体" w:cs="黑体"/>
                <w:szCs w:val="21"/>
              </w:rPr>
            </w:pPr>
            <w:r>
              <w:rPr>
                <w:rFonts w:hint="eastAsia" w:ascii="宋体" w:hAnsi="宋体" w:cs="黑体"/>
                <w:szCs w:val="21"/>
              </w:rPr>
              <w:t>1.线上教学实践原则上按系统课表及校历进行授课，严禁教师自行安排授课时间，以避免课程间的冲突。</w:t>
            </w:r>
          </w:p>
          <w:p>
            <w:pPr>
              <w:rPr>
                <w:rFonts w:ascii="宋体" w:hAnsi="宋体" w:cs="黑体"/>
                <w:szCs w:val="21"/>
              </w:rPr>
            </w:pPr>
            <w:r>
              <w:rPr>
                <w:rFonts w:hint="eastAsia" w:ascii="宋体" w:hAnsi="宋体" w:cs="黑体"/>
                <w:szCs w:val="21"/>
              </w:rPr>
              <w:t>2.目前班级及具体授课时间及课表尚有调整，课程组将与设计学院共同协调确定，并与开课前集中下发。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80" w:hRule="atLeast"/>
        </w:trPr>
        <w:tc>
          <w:tcPr>
            <w:tcW w:w="1585" w:type="dxa"/>
            <w:vAlign w:val="center"/>
          </w:tcPr>
          <w:p>
            <w:pPr>
              <w:spacing w:line="300" w:lineRule="auto"/>
              <w:jc w:val="center"/>
              <w:rPr>
                <w:rFonts w:ascii="宋体" w:hAnsi="宋体" w:cs="黑体"/>
                <w:szCs w:val="21"/>
              </w:rPr>
            </w:pPr>
            <w:r>
              <w:rPr>
                <w:rFonts w:hint="eastAsia" w:ascii="宋体" w:hAnsi="宋体" w:cs="黑体"/>
                <w:szCs w:val="21"/>
                <w:lang w:val="en-US" w:eastAsia="zh-CN"/>
              </w:rPr>
              <w:t>视觉传达设计</w:t>
            </w:r>
            <w:r>
              <w:rPr>
                <w:rFonts w:hint="eastAsia" w:ascii="宋体" w:hAnsi="宋体" w:cs="黑体"/>
                <w:szCs w:val="21"/>
              </w:rPr>
              <w:t>第</w:t>
            </w:r>
            <w:r>
              <w:rPr>
                <w:rFonts w:hint="eastAsia" w:ascii="宋体" w:hAnsi="宋体" w:cs="黑体"/>
                <w:szCs w:val="21"/>
                <w:lang w:val="en-US" w:eastAsia="zh-CN"/>
              </w:rPr>
              <w:t>四</w:t>
            </w:r>
            <w:r>
              <w:rPr>
                <w:rFonts w:hint="eastAsia" w:ascii="宋体" w:hAnsi="宋体" w:cs="黑体"/>
                <w:szCs w:val="21"/>
              </w:rPr>
              <w:t>工作室</w:t>
            </w:r>
          </w:p>
        </w:tc>
        <w:tc>
          <w:tcPr>
            <w:tcW w:w="1087" w:type="dxa"/>
            <w:vAlign w:val="center"/>
          </w:tcPr>
          <w:p>
            <w:pPr>
              <w:spacing w:line="300" w:lineRule="auto"/>
              <w:jc w:val="center"/>
              <w:rPr>
                <w:rFonts w:hint="default" w:ascii="宋体" w:hAnsi="宋体" w:eastAsia="宋体" w:cs="黑体"/>
                <w:szCs w:val="21"/>
                <w:lang w:val="en-US" w:eastAsia="zh-CN"/>
              </w:rPr>
            </w:pPr>
            <w:r>
              <w:rPr>
                <w:rFonts w:hint="eastAsia" w:ascii="宋体" w:hAnsi="宋体" w:cs="黑体"/>
                <w:szCs w:val="21"/>
                <w:lang w:val="en-US" w:eastAsia="zh-CN"/>
              </w:rPr>
              <w:t>田立群</w:t>
            </w:r>
          </w:p>
        </w:tc>
        <w:tc>
          <w:tcPr>
            <w:tcW w:w="1483" w:type="dxa"/>
            <w:vAlign w:val="center"/>
          </w:tcPr>
          <w:p>
            <w:pPr>
              <w:spacing w:line="300" w:lineRule="auto"/>
              <w:jc w:val="center"/>
              <w:rPr>
                <w:rFonts w:ascii="宋体" w:hAnsi="宋体" w:cs="黑体"/>
                <w:szCs w:val="21"/>
              </w:rPr>
            </w:pPr>
            <w:r>
              <w:rPr>
                <w:rFonts w:hint="eastAsia" w:ascii="宋体" w:hAnsi="宋体" w:cs="黑体"/>
                <w:szCs w:val="21"/>
              </w:rPr>
              <w:t>待定</w:t>
            </w:r>
          </w:p>
        </w:tc>
        <w:tc>
          <w:tcPr>
            <w:tcW w:w="4367" w:type="dxa"/>
            <w:vMerge w:val="continue"/>
            <w:vAlign w:val="center"/>
          </w:tcPr>
          <w:p>
            <w:pPr>
              <w:spacing w:line="300" w:lineRule="auto"/>
              <w:jc w:val="center"/>
              <w:rPr>
                <w:rFonts w:ascii="黑体" w:hAnsi="黑体" w:eastAsia="黑体" w:cs="黑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80" w:hRule="atLeast"/>
        </w:trPr>
        <w:tc>
          <w:tcPr>
            <w:tcW w:w="1585" w:type="dxa"/>
            <w:vAlign w:val="center"/>
          </w:tcPr>
          <w:p>
            <w:pPr>
              <w:spacing w:line="300" w:lineRule="auto"/>
              <w:jc w:val="center"/>
              <w:rPr>
                <w:rFonts w:ascii="宋体" w:hAnsi="宋体" w:cs="黑体"/>
                <w:szCs w:val="21"/>
              </w:rPr>
            </w:pPr>
            <w:r>
              <w:rPr>
                <w:rFonts w:hint="eastAsia" w:ascii="宋体" w:hAnsi="宋体" w:cs="黑体"/>
                <w:szCs w:val="21"/>
                <w:lang w:val="en-US" w:eastAsia="zh-CN"/>
              </w:rPr>
              <w:t>视觉传达设计</w:t>
            </w:r>
            <w:r>
              <w:rPr>
                <w:rFonts w:hint="eastAsia" w:ascii="宋体" w:hAnsi="宋体" w:cs="黑体"/>
                <w:szCs w:val="21"/>
              </w:rPr>
              <w:t>第</w:t>
            </w:r>
            <w:r>
              <w:rPr>
                <w:rFonts w:hint="eastAsia" w:ascii="宋体" w:hAnsi="宋体" w:cs="黑体"/>
                <w:szCs w:val="21"/>
                <w:lang w:val="en-US" w:eastAsia="zh-CN"/>
              </w:rPr>
              <w:t>六</w:t>
            </w:r>
            <w:r>
              <w:rPr>
                <w:rFonts w:hint="eastAsia" w:ascii="宋体" w:hAnsi="宋体" w:cs="黑体"/>
                <w:szCs w:val="21"/>
              </w:rPr>
              <w:t>工作室</w:t>
            </w:r>
          </w:p>
        </w:tc>
        <w:tc>
          <w:tcPr>
            <w:tcW w:w="1087" w:type="dxa"/>
            <w:vAlign w:val="center"/>
          </w:tcPr>
          <w:p>
            <w:pPr>
              <w:spacing w:line="300" w:lineRule="auto"/>
              <w:jc w:val="center"/>
              <w:rPr>
                <w:rFonts w:hint="default" w:ascii="宋体" w:hAnsi="宋体" w:eastAsia="宋体" w:cs="黑体"/>
                <w:szCs w:val="21"/>
                <w:lang w:val="en-US" w:eastAsia="zh-CN"/>
              </w:rPr>
            </w:pPr>
            <w:r>
              <w:rPr>
                <w:rFonts w:hint="eastAsia" w:ascii="宋体" w:hAnsi="宋体" w:cs="黑体"/>
                <w:szCs w:val="21"/>
                <w:lang w:val="en-US" w:eastAsia="zh-CN"/>
              </w:rPr>
              <w:t>郝边远</w:t>
            </w:r>
          </w:p>
        </w:tc>
        <w:tc>
          <w:tcPr>
            <w:tcW w:w="1483" w:type="dxa"/>
            <w:vAlign w:val="center"/>
          </w:tcPr>
          <w:p>
            <w:pPr>
              <w:spacing w:line="300" w:lineRule="auto"/>
              <w:jc w:val="center"/>
              <w:rPr>
                <w:rFonts w:ascii="宋体" w:hAnsi="宋体" w:cs="黑体"/>
                <w:szCs w:val="21"/>
              </w:rPr>
            </w:pPr>
            <w:r>
              <w:rPr>
                <w:rFonts w:hint="eastAsia" w:ascii="宋体" w:hAnsi="宋体" w:cs="黑体"/>
                <w:szCs w:val="21"/>
              </w:rPr>
              <w:t>待定</w:t>
            </w:r>
          </w:p>
        </w:tc>
        <w:tc>
          <w:tcPr>
            <w:tcW w:w="4367" w:type="dxa"/>
            <w:vMerge w:val="continue"/>
            <w:vAlign w:val="center"/>
          </w:tcPr>
          <w:p>
            <w:pPr>
              <w:spacing w:line="300" w:lineRule="auto"/>
              <w:jc w:val="center"/>
              <w:rPr>
                <w:rFonts w:ascii="黑体" w:hAnsi="黑体" w:eastAsia="黑体" w:cs="黑体"/>
                <w:szCs w:val="21"/>
              </w:rPr>
            </w:pPr>
          </w:p>
        </w:tc>
      </w:tr>
    </w:tbl>
    <w:p>
      <w:pPr>
        <w:spacing w:line="300" w:lineRule="auto"/>
        <w:ind w:firstLine="643" w:firstLineChars="200"/>
        <w:jc w:val="left"/>
        <w:rPr>
          <w:rFonts w:ascii="楷体" w:hAnsi="楷体" w:eastAsia="楷体"/>
          <w:b/>
          <w:sz w:val="32"/>
          <w:szCs w:val="32"/>
        </w:rPr>
      </w:pPr>
      <w:r>
        <w:rPr>
          <w:rFonts w:hint="eastAsia" w:ascii="楷体" w:hAnsi="楷体" w:eastAsia="楷体"/>
          <w:b/>
          <w:sz w:val="32"/>
          <w:szCs w:val="32"/>
        </w:rPr>
        <w:t>（二）线上教学模式</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1.基于《</w:t>
      </w:r>
      <w:r>
        <w:rPr>
          <w:rFonts w:hint="eastAsia" w:ascii="仿宋" w:hAnsi="仿宋" w:eastAsia="仿宋"/>
          <w:sz w:val="32"/>
          <w:szCs w:val="32"/>
          <w:lang w:val="en-US" w:eastAsia="zh-CN"/>
        </w:rPr>
        <w:t>数码媒体</w:t>
      </w:r>
      <w:r>
        <w:rPr>
          <w:rFonts w:hint="eastAsia" w:ascii="仿宋" w:hAnsi="仿宋" w:eastAsia="仿宋"/>
          <w:sz w:val="32"/>
          <w:szCs w:val="32"/>
        </w:rPr>
        <w:t>设计实践》课程特点及教学目标分析，为及时掌控学生在线学习状态，实时把控各环节学习的真实情况，并实施进行师生互动辅导答疑，最大程度提升线上教学的“直接性”和“课堂育人”功能，避免网络教学平台的不稳定性，课程组计划以超星</w:t>
      </w:r>
      <w:r>
        <w:rPr>
          <w:rFonts w:hint="eastAsia" w:ascii="仿宋" w:hAnsi="仿宋" w:eastAsia="仿宋"/>
          <w:color w:val="C00000"/>
          <w:sz w:val="32"/>
          <w:szCs w:val="32"/>
        </w:rPr>
        <w:t>泛雅平台（学习通）或阿里巴巴钉钉智能办公系统的方式搭建线上学习空间。配合</w:t>
      </w:r>
      <w:r>
        <w:rPr>
          <w:rFonts w:hint="eastAsia" w:ascii="仿宋" w:hAnsi="仿宋" w:eastAsia="仿宋"/>
          <w:sz w:val="32"/>
          <w:szCs w:val="32"/>
        </w:rPr>
        <w:t>超星</w:t>
      </w:r>
      <w:r>
        <w:rPr>
          <w:rFonts w:hint="eastAsia" w:ascii="仿宋" w:hAnsi="仿宋" w:eastAsia="仿宋"/>
          <w:color w:val="C00000"/>
          <w:sz w:val="32"/>
          <w:szCs w:val="32"/>
        </w:rPr>
        <w:t>泛雅平台（学习通）工具</w:t>
      </w:r>
      <w:r>
        <w:rPr>
          <w:rFonts w:hint="eastAsia" w:ascii="仿宋" w:hAnsi="仿宋" w:eastAsia="仿宋"/>
          <w:sz w:val="32"/>
          <w:szCs w:val="32"/>
        </w:rPr>
        <w:t>（签到、活动、作业等）实施线上教学管理。授课教师利用微信、QQ教学班级群，确保相关教学信息畅通，同时为线上教学互动答疑、学习资源、教学资料发布管理以及相关教学课题实训的有效辅助。</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教师在QQ群/微信群发送听课链接，学生在课堂内观看教师实时授课，并进行讨论互动。</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color w:val="C00000"/>
          <w:sz w:val="32"/>
          <w:szCs w:val="32"/>
          <w:u w:val="single"/>
        </w:rPr>
        <w:t>超星泛雅平台（学习通）：</w:t>
      </w:r>
      <w:r>
        <w:rPr>
          <w:rFonts w:hint="eastAsia" w:ascii="仿宋" w:hAnsi="仿宋" w:eastAsia="仿宋"/>
          <w:sz w:val="32"/>
          <w:szCs w:val="32"/>
        </w:rPr>
        <w:t>超星泛雅是基于慕课的新一代网络教学平台。老师可以在这个平台利用庞大的资源建立线上课程。</w:t>
      </w:r>
    </w:p>
    <w:p>
      <w:pPr>
        <w:widowControl/>
        <w:shd w:val="clear" w:color="auto" w:fill="FFFFFF"/>
        <w:spacing w:line="300" w:lineRule="auto"/>
        <w:ind w:firstLine="640" w:firstLineChars="200"/>
        <w:jc w:val="left"/>
        <w:rPr>
          <w:rFonts w:ascii="楷体" w:hAnsi="楷体" w:eastAsia="楷体"/>
          <w:b/>
          <w:sz w:val="32"/>
          <w:szCs w:val="32"/>
        </w:rPr>
      </w:pPr>
      <w:r>
        <w:rPr>
          <w:rFonts w:hint="eastAsia" w:ascii="仿宋" w:hAnsi="仿宋" w:eastAsia="仿宋"/>
          <w:color w:val="C00000"/>
          <w:sz w:val="32"/>
          <w:szCs w:val="32"/>
          <w:u w:val="single"/>
        </w:rPr>
        <w:t>钉钉智能办公系统：</w:t>
      </w:r>
      <w:r>
        <w:rPr>
          <w:rFonts w:hint="eastAsia" w:ascii="仿宋" w:hAnsi="仿宋" w:eastAsia="仿宋"/>
          <w:sz w:val="32"/>
          <w:szCs w:val="32"/>
        </w:rPr>
        <w:t>钉钉，是阿里巴巴集团专为企业打造的一个工作商务沟通、协同、智能移动办公平台，帮助数千万企业降低沟通、协同、管理成本，提升办公效率，实现数字化新工作方式。</w:t>
      </w:r>
    </w:p>
    <w:p>
      <w:pPr>
        <w:widowControl/>
        <w:shd w:val="clear" w:color="auto" w:fill="FFFFFF"/>
        <w:spacing w:line="300" w:lineRule="auto"/>
        <w:ind w:firstLine="643" w:firstLineChars="200"/>
        <w:jc w:val="left"/>
        <w:rPr>
          <w:rFonts w:ascii="楷体" w:hAnsi="楷体" w:eastAsia="楷体"/>
          <w:b/>
          <w:sz w:val="32"/>
          <w:szCs w:val="32"/>
        </w:rPr>
      </w:pPr>
      <w:r>
        <w:rPr>
          <w:rFonts w:hint="eastAsia" w:ascii="楷体" w:hAnsi="楷体" w:eastAsia="楷体"/>
          <w:b/>
          <w:sz w:val="32"/>
          <w:szCs w:val="32"/>
        </w:rPr>
        <w:t>（三）线上教学组织与监督</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课程组按统一的课程教学大纲、教学进度表，以实践指导书为依据，结合授课教案、</w:t>
      </w:r>
      <w:r>
        <w:rPr>
          <w:rFonts w:ascii="仿宋" w:hAnsi="仿宋" w:eastAsia="仿宋"/>
          <w:sz w:val="32"/>
          <w:szCs w:val="32"/>
        </w:rPr>
        <w:t>PPT</w:t>
      </w:r>
      <w:r>
        <w:rPr>
          <w:rFonts w:hint="eastAsia" w:ascii="仿宋" w:hAnsi="仿宋" w:eastAsia="仿宋"/>
          <w:sz w:val="32"/>
          <w:szCs w:val="32"/>
        </w:rPr>
        <w:t>、教学资料包、教学辅助语音</w:t>
      </w:r>
      <w:r>
        <w:rPr>
          <w:rFonts w:ascii="仿宋" w:hAnsi="仿宋" w:eastAsia="仿宋"/>
          <w:sz w:val="32"/>
          <w:szCs w:val="32"/>
        </w:rPr>
        <w:t>/</w:t>
      </w:r>
      <w:r>
        <w:rPr>
          <w:rFonts w:hint="eastAsia" w:ascii="仿宋" w:hAnsi="仿宋" w:eastAsia="仿宋"/>
          <w:sz w:val="32"/>
          <w:szCs w:val="32"/>
        </w:rPr>
        <w:t>视频、课后学习链接等进行线上教学设计：</w:t>
      </w:r>
    </w:p>
    <w:p>
      <w:pPr>
        <w:widowControl/>
        <w:shd w:val="clear" w:color="auto" w:fill="FFFFFF"/>
        <w:spacing w:line="300" w:lineRule="auto"/>
        <w:ind w:firstLine="640" w:firstLineChars="200"/>
        <w:jc w:val="left"/>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教师以</w:t>
      </w:r>
      <w:r>
        <w:rPr>
          <w:rFonts w:ascii="仿宋" w:hAnsi="仿宋" w:eastAsia="仿宋"/>
          <w:sz w:val="32"/>
          <w:szCs w:val="32"/>
        </w:rPr>
        <w:t>4</w:t>
      </w:r>
      <w:r>
        <w:rPr>
          <w:rFonts w:hint="eastAsia" w:ascii="仿宋" w:hAnsi="仿宋" w:eastAsia="仿宋"/>
          <w:sz w:val="32"/>
          <w:szCs w:val="32"/>
        </w:rPr>
        <w:t>个教学周为单位，依次以延期开学时限类推。结合授课主题、课程重</w:t>
      </w:r>
      <w:r>
        <w:rPr>
          <w:rFonts w:ascii="仿宋" w:hAnsi="仿宋" w:eastAsia="仿宋"/>
          <w:sz w:val="32"/>
          <w:szCs w:val="32"/>
        </w:rPr>
        <w:t>/</w:t>
      </w:r>
      <w:r>
        <w:rPr>
          <w:rFonts w:hint="eastAsia" w:ascii="仿宋" w:hAnsi="仿宋" w:eastAsia="仿宋"/>
          <w:sz w:val="32"/>
          <w:szCs w:val="32"/>
        </w:rPr>
        <w:t>难点、课程设计、课件数量、讲解时长、课后作业、考核方式、出勤情况进行预填表并如实记录全过程。（见附表</w:t>
      </w:r>
      <w:r>
        <w:rPr>
          <w:rFonts w:ascii="仿宋" w:hAnsi="仿宋" w:eastAsia="仿宋"/>
          <w:sz w:val="32"/>
          <w:szCs w:val="32"/>
        </w:rPr>
        <w:t>1</w:t>
      </w:r>
      <w:r>
        <w:rPr>
          <w:rFonts w:hint="eastAsia" w:ascii="仿宋" w:hAnsi="仿宋" w:eastAsia="仿宋"/>
          <w:sz w:val="32"/>
          <w:szCs w:val="32"/>
        </w:rPr>
        <w:t>）</w:t>
      </w:r>
    </w:p>
    <w:p>
      <w:pPr>
        <w:spacing w:line="300" w:lineRule="auto"/>
        <w:ind w:firstLine="627" w:firstLineChars="196"/>
        <w:rPr>
          <w:rFonts w:ascii="仿宋" w:hAnsi="仿宋" w:eastAsia="仿宋"/>
          <w:sz w:val="32"/>
          <w:szCs w:val="32"/>
        </w:rPr>
      </w:pPr>
      <w:r>
        <w:rPr>
          <w:rFonts w:hint="eastAsia" w:ascii="仿宋" w:hAnsi="仿宋" w:eastAsia="仿宋"/>
          <w:sz w:val="32"/>
          <w:szCs w:val="32"/>
        </w:rPr>
        <w:t>2.课程组于正式开课前每周通过泛雅（学习通）或阿里巴巴钉钉签到系统等方式，开展1-2次线上教学专题研讨及培训答疑，制定课程线上的教学设计。开课教师于课前在班级QQ群通知，并在泛雅（学习通）直播平台至少进行2次线上教学模拟调试，要求正式开课前师生能够100%掌握视频直播流程。</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3.学生自主学习与指导</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开课教师于2月17日前完成线上平台学习资源和本学期计划的参展参赛的信息进行汇总，结合课程教学实际，利用泛雅（学习通）平台，指导、推送给学生供自主学习。并通过泛雅（学习通）平台对自主学习方法加以指导，提高学习实效。</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同时，授课教师根据各班学习进度课程内容、课程要求、习题、线上/线下实践作业、案例资源、参考书籍（PDF电子教参）等内容，实时发布在QQ群、微信群；在教学过程中通过多种形式答疑、互动讨论，在教学过程中通过e-mail、QQ留言板随堂作业以及在线测试的方式即时获得学生反馈，并随时调整教学计划，定期、及时更新教学内容和资料。</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4.线上课程相关理论教学</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线上教学单次课程的在线授课时长占比须≥</w:t>
      </w:r>
      <w:r>
        <w:rPr>
          <w:rFonts w:ascii="仿宋" w:hAnsi="仿宋" w:eastAsia="仿宋"/>
          <w:sz w:val="32"/>
          <w:szCs w:val="32"/>
        </w:rPr>
        <w:t>50%</w:t>
      </w:r>
      <w:r>
        <w:rPr>
          <w:rFonts w:hint="eastAsia" w:ascii="仿宋" w:hAnsi="仿宋" w:eastAsia="仿宋"/>
          <w:sz w:val="32"/>
          <w:szCs w:val="32"/>
        </w:rPr>
        <w:t>单节课总时长。理论讲授内容须切合实训项目内容所需，室内设计实践的专业知识点要讲解具体，辅助案例分析等知识讲解。结合课程内容对应所讲环节，采取“PPT+音频+视频”直播的方式，逐页展示教学</w:t>
      </w:r>
      <w:r>
        <w:rPr>
          <w:rFonts w:ascii="仿宋" w:hAnsi="仿宋" w:eastAsia="仿宋"/>
          <w:sz w:val="32"/>
          <w:szCs w:val="32"/>
        </w:rPr>
        <w:t>PPT</w:t>
      </w:r>
      <w:r>
        <w:rPr>
          <w:rFonts w:hint="eastAsia" w:ascii="仿宋" w:hAnsi="仿宋" w:eastAsia="仿宋"/>
          <w:sz w:val="32"/>
          <w:szCs w:val="32"/>
        </w:rPr>
        <w:t>，进行课程核心内容及重难点的讲解，并通过“分享屏幕”及“学习通直播”功能的实时切换，延展相应专业理论知识。重要知识点通过视频播放结合线上讲解的方式，便于学生明确提纲及相关知识点并做好学习笔记。</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5.线上作业与音视频互动辅导</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该课程实训任务是完成平台实训项目（任务详见《项目立项书》），课上互动、课堂练习、课后作业切合实训项目展开设计。</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音视频辅导教学方面主要采用网络共享视频文件，本课程主要结合学堂在线等平台优秀网络课程资源，作为本门课程教学的主要辅助视频资源。其他音视频辅导资源主要内容包括：</w:t>
      </w:r>
    </w:p>
    <w:p>
      <w:pPr>
        <w:widowControl/>
        <w:numPr>
          <w:ilvl w:val="0"/>
          <w:numId w:val="1"/>
        </w:numPr>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战疫情</w:t>
      </w:r>
      <w:r>
        <w:rPr>
          <w:rFonts w:hint="eastAsia" w:ascii="仿宋" w:hAnsi="仿宋" w:eastAsia="仿宋"/>
          <w:sz w:val="32"/>
          <w:szCs w:val="32"/>
          <w:lang w:eastAsia="zh-CN"/>
        </w:rPr>
        <w:t>”</w:t>
      </w:r>
      <w:r>
        <w:rPr>
          <w:rFonts w:hint="eastAsia" w:ascii="仿宋" w:hAnsi="仿宋" w:eastAsia="仿宋"/>
          <w:sz w:val="32"/>
          <w:szCs w:val="32"/>
          <w:lang w:val="en-US" w:eastAsia="zh-CN"/>
        </w:rPr>
        <w:t>主题海报设计，每位同学制作两张海报，并制作两分钟视频。</w:t>
      </w:r>
    </w:p>
    <w:p>
      <w:pPr>
        <w:widowControl/>
        <w:numPr>
          <w:ilvl w:val="0"/>
          <w:numId w:val="1"/>
        </w:numPr>
        <w:shd w:val="clear" w:color="auto" w:fill="FFFFFF"/>
        <w:spacing w:line="300" w:lineRule="auto"/>
        <w:ind w:firstLine="640" w:firstLineChars="200"/>
        <w:jc w:val="left"/>
        <w:rPr>
          <w:rFonts w:hint="default" w:ascii="仿宋" w:hAnsi="仿宋" w:eastAsia="仿宋"/>
          <w:sz w:val="32"/>
          <w:szCs w:val="32"/>
          <w:lang w:val="en-US"/>
        </w:rPr>
      </w:pPr>
      <w:r>
        <w:rPr>
          <w:rFonts w:hint="eastAsia" w:ascii="仿宋" w:hAnsi="仿宋" w:eastAsia="仿宋"/>
          <w:sz w:val="32"/>
          <w:szCs w:val="32"/>
          <w:lang w:val="en-US" w:eastAsia="zh-CN"/>
        </w:rPr>
        <w:t>基础软件知识及设计理论课程基础加强</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对在一定教学内容讲解之后，要求留给学生适量独立思考完成的作业，线上布置作业以思考题（思维拓展）为主，开展师生互动研讨。</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同时为配合国家疫情防控宣传工作，开展关于防控疫情相关的</w:t>
      </w:r>
      <w:r>
        <w:rPr>
          <w:rFonts w:hint="eastAsia" w:ascii="仿宋" w:hAnsi="仿宋" w:eastAsia="仿宋"/>
          <w:sz w:val="32"/>
          <w:szCs w:val="32"/>
          <w:lang w:val="en-US" w:eastAsia="zh-CN"/>
        </w:rPr>
        <w:t>数码设计</w:t>
      </w:r>
      <w:r>
        <w:rPr>
          <w:rFonts w:hint="eastAsia" w:ascii="仿宋" w:hAnsi="仿宋" w:eastAsia="仿宋"/>
          <w:sz w:val="32"/>
          <w:szCs w:val="32"/>
        </w:rPr>
        <w:t>实训内容，主要包括</w:t>
      </w:r>
      <w:r>
        <w:rPr>
          <w:rFonts w:hint="eastAsia" w:ascii="仿宋" w:hAnsi="仿宋" w:eastAsia="仿宋"/>
          <w:sz w:val="32"/>
          <w:szCs w:val="32"/>
          <w:lang w:val="en-US" w:eastAsia="zh-CN"/>
        </w:rPr>
        <w:t>海报</w:t>
      </w:r>
      <w:r>
        <w:rPr>
          <w:rFonts w:hint="eastAsia" w:ascii="仿宋" w:hAnsi="仿宋" w:eastAsia="仿宋"/>
          <w:sz w:val="32"/>
          <w:szCs w:val="32"/>
        </w:rPr>
        <w:t>、</w:t>
      </w:r>
      <w:r>
        <w:rPr>
          <w:rFonts w:hint="eastAsia" w:ascii="仿宋" w:hAnsi="仿宋" w:eastAsia="仿宋"/>
          <w:sz w:val="32"/>
          <w:szCs w:val="32"/>
          <w:lang w:val="en-US" w:eastAsia="zh-CN"/>
        </w:rPr>
        <w:t>字体设计</w:t>
      </w:r>
      <w:r>
        <w:rPr>
          <w:rFonts w:hint="eastAsia" w:ascii="仿宋" w:hAnsi="仿宋" w:eastAsia="仿宋"/>
          <w:sz w:val="32"/>
          <w:szCs w:val="32"/>
        </w:rPr>
        <w:t>、</w:t>
      </w:r>
      <w:r>
        <w:rPr>
          <w:rFonts w:hint="eastAsia" w:ascii="仿宋" w:hAnsi="仿宋" w:eastAsia="仿宋"/>
          <w:sz w:val="32"/>
          <w:szCs w:val="32"/>
          <w:lang w:val="en-US" w:eastAsia="zh-CN"/>
        </w:rPr>
        <w:t>视频设计</w:t>
      </w:r>
      <w:r>
        <w:rPr>
          <w:rFonts w:hint="eastAsia" w:ascii="仿宋" w:hAnsi="仿宋" w:eastAsia="仿宋"/>
          <w:sz w:val="32"/>
          <w:szCs w:val="32"/>
        </w:rPr>
        <w:t>等疫情防控设计内容。</w:t>
      </w:r>
      <w:r>
        <w:rPr>
          <w:rFonts w:hint="eastAsia" w:ascii="仿宋" w:hAnsi="仿宋" w:eastAsia="仿宋"/>
          <w:sz w:val="32"/>
          <w:szCs w:val="32"/>
          <w:lang w:val="en-US" w:eastAsia="zh-CN"/>
        </w:rPr>
        <w:t>海报</w:t>
      </w:r>
      <w:r>
        <w:rPr>
          <w:rFonts w:hint="eastAsia" w:ascii="仿宋" w:hAnsi="仿宋" w:eastAsia="仿宋"/>
          <w:sz w:val="32"/>
          <w:szCs w:val="32"/>
        </w:rPr>
        <w:t>设计安排在开学后每周</w:t>
      </w:r>
      <w:r>
        <w:rPr>
          <w:rFonts w:hint="eastAsia" w:ascii="仿宋" w:hAnsi="仿宋" w:eastAsia="仿宋"/>
          <w:sz w:val="32"/>
          <w:szCs w:val="32"/>
          <w:lang w:val="en-US" w:eastAsia="zh-CN"/>
        </w:rPr>
        <w:t>一</w:t>
      </w:r>
      <w:r>
        <w:rPr>
          <w:rFonts w:hint="eastAsia" w:ascii="仿宋" w:hAnsi="仿宋" w:eastAsia="仿宋"/>
          <w:sz w:val="32"/>
          <w:szCs w:val="32"/>
        </w:rPr>
        <w:t>1-4节进行集中式指导。</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学生在进行相应学习活动之后，在线提交作业（有时效限制的线上作业），并阐述创作设计思路观点。教师通过线上查看学生的作业，即时了解学生对教学内容的掌握程度，检验教与学的预期效果，并有针对性的就共性问题进行线上集中讲解答疑。</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线上作业留存规则：</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（1）线上作业设计不局限于对知识点的考查，重在考查学生解决实际问题的能力。</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2）课堂实践创作须在课堂在线指导的状态下按时完成，同时讲解与答疑分开进行：课堂前半部分集中讲解，后半部分答疑与实践并行。实践任务要明确任务、形式、数量、软件及创作时限要求，教师甄选代表性的学生实践成果在线进行点评。</w:t>
      </w:r>
    </w:p>
    <w:p>
      <w:pPr>
        <w:widowControl/>
        <w:shd w:val="clear" w:color="auto" w:fill="FFFFFF"/>
        <w:spacing w:line="300" w:lineRule="auto"/>
        <w:ind w:firstLine="480" w:firstLineChars="150"/>
        <w:jc w:val="left"/>
        <w:rPr>
          <w:rFonts w:ascii="仿宋" w:hAnsi="仿宋" w:eastAsia="仿宋"/>
          <w:sz w:val="32"/>
          <w:szCs w:val="32"/>
        </w:rPr>
      </w:pPr>
      <w:r>
        <w:rPr>
          <w:rFonts w:hint="eastAsia" w:ascii="仿宋" w:hAnsi="仿宋" w:eastAsia="仿宋"/>
          <w:sz w:val="32"/>
          <w:szCs w:val="32"/>
        </w:rPr>
        <w:t>（3）教师线上布置作业，学生通过文字、音频、图片、PPT等方式提交作业。学生完成后，教师在线评阅作业并发表评价。</w:t>
      </w:r>
    </w:p>
    <w:p>
      <w:pPr>
        <w:widowControl/>
        <w:shd w:val="clear" w:color="auto" w:fill="FFFFFF"/>
        <w:spacing w:line="300" w:lineRule="auto"/>
        <w:ind w:firstLine="800" w:firstLineChars="250"/>
        <w:jc w:val="left"/>
        <w:rPr>
          <w:rFonts w:ascii="仿宋" w:hAnsi="仿宋" w:eastAsia="仿宋"/>
          <w:sz w:val="32"/>
          <w:szCs w:val="32"/>
        </w:rPr>
      </w:pPr>
      <w:r>
        <w:rPr>
          <w:rFonts w:hint="eastAsia" w:ascii="仿宋" w:hAnsi="仿宋" w:eastAsia="仿宋"/>
          <w:sz w:val="32"/>
          <w:szCs w:val="32"/>
        </w:rPr>
        <w:t>6.加强师生互动研讨与教学过程监督</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（1）在线学习过程监控：线上教学监管及学生在线情况须贯穿整个教学过程。主讲教师利用泛雅（学习通）平台“签到”或钉钉应用“签到”功能，按规定上课时间于课前</w:t>
      </w:r>
      <w:r>
        <w:rPr>
          <w:rFonts w:ascii="仿宋" w:hAnsi="仿宋" w:eastAsia="仿宋"/>
          <w:sz w:val="32"/>
          <w:szCs w:val="32"/>
        </w:rPr>
        <w:t>10</w:t>
      </w:r>
      <w:r>
        <w:rPr>
          <w:rFonts w:hint="eastAsia" w:ascii="仿宋" w:hAnsi="仿宋" w:eastAsia="仿宋"/>
          <w:sz w:val="32"/>
          <w:szCs w:val="32"/>
        </w:rPr>
        <w:t>分钟、课中及结课前分阶段即刻签到，并结合课堂随机点名的方式，合理设置互动环节，实时掌控学生线上学习的在线情况，学生在线情况作为在线考核的重要依据。教师留存每节课的授课截图及聊天记录作为线上教学管理的佐证依据。</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（2）利用超星泛雅（学习通）平台或钉钉平台，线上布置作业或答题，设置学生线上提交作业以及答题时间，每次线上作业的提交以及答题人数统计作为在线监控依据。</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3）把师生在线互动交流纳入教学监督。要求每班每节课线上教学互动不少于2次，并以“随机抽取”的方式，实现师生间、学生间同步交互，每次教学互动随机抽取学生数须≥30-40%，防止学生打开视频直播学习界面后做其他无关事情，给教师反馈学生在线信息，以实现在线学习全过程监控。</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4）打造线上教学“第二课堂”。教师在完成班级网络教学规定任务的基础上，每班每周至少开展1次师生线上教学专题讨论，针对教学重难点开展辅导课堂教学，教师针对课程学习中出现的典型问题、不足及其他相关问题，考虑解决、更新和完善，拓展师生“网上教学”时间。</w:t>
      </w:r>
    </w:p>
    <w:p>
      <w:pPr>
        <w:widowControl/>
        <w:shd w:val="clear" w:color="auto" w:fill="FFFFFF"/>
        <w:spacing w:line="300" w:lineRule="auto"/>
        <w:ind w:firstLine="643" w:firstLineChars="200"/>
        <w:jc w:val="left"/>
        <w:rPr>
          <w:rFonts w:ascii="黑体" w:hAnsi="黑体" w:eastAsia="黑体"/>
          <w:b/>
          <w:sz w:val="32"/>
          <w:szCs w:val="32"/>
        </w:rPr>
      </w:pPr>
      <w:r>
        <w:rPr>
          <w:rFonts w:hint="eastAsia" w:ascii="黑体" w:hAnsi="黑体" w:eastAsia="黑体"/>
          <w:b/>
          <w:sz w:val="32"/>
          <w:szCs w:val="32"/>
        </w:rPr>
        <w:t>二、线上教学保障</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1.授课教师充分做好上课准备工作。要在2月17日前选择网络教学平台并完成教学设计，同时完成课程相关教学资源的搜集，并制作好课程相关视频、音频、PPT、PDF电子教材、课前预习要求、课后实践作业、课程过程性考核要求等相关教学资料，并于2月17日前交由部门审核，并作为教师考核与评价的重要内容和依据。同时，开课前课程组每周组织开展1-2次关于网络教学的操作与管理方法的指导与研讨，保证教师能够熟练掌握网络教学工具与平台使用。</w:t>
      </w:r>
    </w:p>
    <w:p>
      <w:pPr>
        <w:widowControl/>
        <w:shd w:val="clear" w:color="auto" w:fill="FFFFFF"/>
        <w:spacing w:line="300" w:lineRule="auto"/>
        <w:ind w:firstLine="640" w:firstLineChars="200"/>
        <w:jc w:val="left"/>
        <w:rPr>
          <w:rFonts w:ascii="仿宋" w:hAnsi="仿宋" w:eastAsia="仿宋"/>
          <w:sz w:val="32"/>
          <w:szCs w:val="32"/>
        </w:rPr>
      </w:pPr>
      <w:r>
        <w:rPr>
          <w:rFonts w:hint="eastAsia" w:ascii="仿宋" w:hAnsi="仿宋" w:eastAsia="仿宋"/>
          <w:sz w:val="32"/>
          <w:szCs w:val="32"/>
        </w:rPr>
        <w:t xml:space="preserve">2.为保证在线教学秩序，避免课程冲突，各工作室开展网络教学按照系统课表时间进行线上教学。 </w:t>
      </w:r>
    </w:p>
    <w:p>
      <w:pPr>
        <w:spacing w:line="300" w:lineRule="auto"/>
        <w:ind w:firstLine="640" w:firstLineChars="200"/>
        <w:jc w:val="left"/>
        <w:rPr>
          <w:rFonts w:ascii="仿宋" w:hAnsi="仿宋" w:eastAsia="仿宋"/>
          <w:sz w:val="32"/>
          <w:szCs w:val="32"/>
        </w:rPr>
      </w:pPr>
      <w:r>
        <w:rPr>
          <w:rFonts w:hint="eastAsia" w:ascii="仿宋" w:hAnsi="仿宋" w:eastAsia="仿宋"/>
          <w:sz w:val="32"/>
          <w:szCs w:val="32"/>
        </w:rPr>
        <w:t>3.将线上教学考核纳入课程考核，加大分值权重占比：各工作室线上教学授课教师做好课程平时考核和实践考核工作，设置线上课程考勤、线上教学互动、在线测试、线下实践作业完成等环节的过程性考核权重。线上督促每名学生在教学各环节中及时完成相应的学习任务，并做好考核，保证教学进度和效果，具体考核办法由各工作室负责人自行拟定并根据班级实际教学需要进行调整。</w:t>
      </w:r>
    </w:p>
    <w:p>
      <w:pPr>
        <w:ind w:firstLine="640" w:firstLineChars="200"/>
      </w:pPr>
      <w:r>
        <w:rPr>
          <w:rFonts w:hint="eastAsia" w:ascii="仿宋" w:hAnsi="仿宋" w:eastAsia="仿宋"/>
          <w:sz w:val="32"/>
          <w:szCs w:val="32"/>
        </w:rPr>
        <w:t>4.以课程负责人牵头发挥二级督导作用，对教师网络教学加强教学质量监督，以周为单位填报《设计学院线上教学质量监控记录表》并存档，对未按规定开展线上授课的教师，经调查核实后予以相应的教学事故处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96C02"/>
    <w:multiLevelType w:val="singleLevel"/>
    <w:tmpl w:val="38296C0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F1F98"/>
    <w:rsid w:val="00183172"/>
    <w:rsid w:val="002D3BAF"/>
    <w:rsid w:val="00612A23"/>
    <w:rsid w:val="0066661F"/>
    <w:rsid w:val="00716999"/>
    <w:rsid w:val="00784CD9"/>
    <w:rsid w:val="007A597E"/>
    <w:rsid w:val="00851BB8"/>
    <w:rsid w:val="008F7878"/>
    <w:rsid w:val="009323AB"/>
    <w:rsid w:val="00AB1FB0"/>
    <w:rsid w:val="00B97A8C"/>
    <w:rsid w:val="00C50C2F"/>
    <w:rsid w:val="00D15EB6"/>
    <w:rsid w:val="00E66E98"/>
    <w:rsid w:val="00E8731B"/>
    <w:rsid w:val="00EE7F61"/>
    <w:rsid w:val="00FA0144"/>
    <w:rsid w:val="02FF784D"/>
    <w:rsid w:val="064A7BF6"/>
    <w:rsid w:val="131E4638"/>
    <w:rsid w:val="13224003"/>
    <w:rsid w:val="13466B35"/>
    <w:rsid w:val="142711CA"/>
    <w:rsid w:val="177975A2"/>
    <w:rsid w:val="1BB43F89"/>
    <w:rsid w:val="1D33335D"/>
    <w:rsid w:val="2BFC0FC0"/>
    <w:rsid w:val="315272F9"/>
    <w:rsid w:val="33FA468F"/>
    <w:rsid w:val="348A237B"/>
    <w:rsid w:val="3697339D"/>
    <w:rsid w:val="39DD00A0"/>
    <w:rsid w:val="3B467819"/>
    <w:rsid w:val="3C2E32B0"/>
    <w:rsid w:val="3D6934FE"/>
    <w:rsid w:val="3E306751"/>
    <w:rsid w:val="3F1B2ACB"/>
    <w:rsid w:val="3F2D391B"/>
    <w:rsid w:val="40F40A91"/>
    <w:rsid w:val="425C5358"/>
    <w:rsid w:val="450E4D43"/>
    <w:rsid w:val="53C714D7"/>
    <w:rsid w:val="5C7F1147"/>
    <w:rsid w:val="6630623D"/>
    <w:rsid w:val="7BB65A20"/>
    <w:rsid w:val="7BF92986"/>
    <w:rsid w:val="7DDF1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hAnsi="Calibri"/>
      <w:kern w:val="2"/>
      <w:sz w:val="18"/>
      <w:szCs w:val="18"/>
    </w:rPr>
  </w:style>
  <w:style w:type="character" w:customStyle="1" w:styleId="7">
    <w:name w:val="页脚 Char"/>
    <w:basedOn w:val="5"/>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561</Words>
  <Characters>3198</Characters>
  <Lines>26</Lines>
  <Paragraphs>7</Paragraphs>
  <TotalTime>2</TotalTime>
  <ScaleCrop>false</ScaleCrop>
  <LinksUpToDate>false</LinksUpToDate>
  <CharactersWithSpaces>3752</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2020-02-13T06:39:00Z</dcterms:created>
  <dc:creator>旬恂</dc:creator>
  <cp:lastModifiedBy>红魔方</cp:lastModifiedBy>
  <dcterms:modified xsi:type="dcterms:W3CDTF">2020-02-27T00:31:21Z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